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A la hora de calcular los requerimientos de energía de un individuo: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Todas las actividades, aunque no haya un movimiento físico aparente, hacen trabajar al organismo y necesitan energía, por lo que hay que contabilizarlas. No nos valdrá con calcular el ejercicio físico de una persona solamente.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2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El patrón de dieta mediterránea: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El patrón de dieta mediterránea abarca un estilo de vida y un patrón sociocultural a la vez que las recomendaciones dietéticas para la prevención de enfermedades crónicas y la promoción de la salud a corto y largo plazo.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3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Un nutriente se considera esencial porque: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Un nutriente es esencial porque el organismo no puede sintetizarlo o no en las cantidades necesarias y se tiene que aportar mediante la alimentación. Puede aportar energía, como algunos ácidos grasos, o no, como el caso de las vitaminas, pero desempeñan funciones vitales.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4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¿Cuál de los siguientes indicadores refleja la obesidad abdominal?: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El ICT es el cociente entre el perímetro de la cintura y la estatura. Cuando su valor sobrepasa el punto de corte de 0,5 se considera que el sujeto presenta obesidad central o abdominal, característica asociada al riesgo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cardiometabólico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5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A la hora de recomendar un consumo adecuado de proteína: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46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1301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1301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1301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1301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1301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La proteína de alimentos vegetales es deficiente en algún aminoácido que no permite que sea completa, pero mediante la complementación entre alimentos vegetales entre sí </w:t>
      </w:r>
      <w:r w:rsidRPr="00F65496">
        <w:rPr>
          <w:rFonts w:ascii="Times New Roman" w:eastAsia="Times New Roman" w:hAnsi="Times New Roman" w:cs="Times New Roman"/>
          <w:sz w:val="24"/>
          <w:szCs w:val="24"/>
        </w:rPr>
        <w:lastRenderedPageBreak/>
        <w:t>se pueden obtener proteínas completas de buena calidad, aun prescindiendo de alimentos animales.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6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Atendiendo al reloj biológico, la mejor forma de adelgazar es tomar: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El momento óptimo para poder tener una energía que se pueda utilizar con las grandes demandas que aparecen es a las primeras horas de estar en pie y no a la hora de merendar o cenar, que habrá menos demandas.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7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La ingesta elevada de regaliz: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Una ingesta elevada de regaliz disminuye los efectos de los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antihipertensivos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debido a que puede dar lugar a una retención de sodio que se acompaña de una retención de agua y aumento del volumen plasmático. Como resultado, el regaliz aumenta la presión arterial y estos efectos tienen repercusiones negativas en los tratamientos con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antihipertensivos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y diuréticos, disminuyendo su efectividad.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8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La influencia de los genes en la masa corporal, en el IMC y en los aspectos energéticos es: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Son poco importantes y se considera que es una incidencia cuantitativa de no más del 1%.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9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La ingesta de zumo de pomelo durante algunos tratamientos farmacológicos: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El zumo de pomelo actúa como un inhibidor enzimático del metabolismo de muchos fármacos (antagonistas de los canales del calcio,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antiinfecciosos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, antihistamínicos, antirretrovirales, benzodiacepinas,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estatinas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, estrógenos, inmunosupresores y otros fármacos). La interacción tiene lugar a nivel de los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enterocitos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del intestino delgado y también a nivel hepático y conlleva un aumento de la respuesta farmacológica del fármaco con el consiguiente riesgo de aparición de reacciones adversas.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lastRenderedPageBreak/>
        <w:t>Pregunta 10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El sistema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microsómico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hepático (SMH), responsable de la metabolización de muchos fármacos: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La ingesta habitual de alcohol acelera la metabolización de fármacos debido a la inducción que provoca el alcohol en el SMH. Las consecuencias de esta interacción son una disminución de la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biodisponibilidad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del fármaco y posible pérdida de los efectos.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11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¿Qué parámetros bioquímicos se estudian en la valoración nutricional?: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El colesterol HDL, el sodio o las hormonas tiroideas no son parámetros indicadores de malnutrición. La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creatinina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sí lo es, ya que mide el catabolismo muscular de forma global. Sus valores están en relación directa con la cantidad y el contenido proteico de la dieta y la edad.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12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Un paciente en consulta dice que es trabajador de turnos y cada día entra a una hora diferente al trabajo. Hay que establecerle un plan dietético debido a su claro estado de sobrepeso. ¿Qué método de valoración nutricional emplearía?: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Como cada día es diferente y los horarios cambian a menudo, es preferible hacer un registro dietético que recoja más de un día de rutina.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13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Los complementos alimenticios pueden ser importantes para la nutrición de algunos grupos específicos como: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Para todos los casos referenciados e incluso en personas con intolerancias y alergias alimentarias pueden ser importantes los complementos.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14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¿Cuál de los siguientes pacientes presenta una condición nutricional correcta desde el punto de vista de los indicadores bioquímicos?: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Solo este individuo presenta los tres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metabolitos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con valores inferiores al punto de corte de riesgo que es, para la glucosa, de 100-110 mg/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mL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>, para el colesterol de 200 mg/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mL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y para los triglicéridos de 150 mg/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mL.</w:t>
      </w:r>
      <w:proofErr w:type="spellEnd"/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15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Un paciente tiene el calcio en niveles inferiores a los óptimos porque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malabsorbe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algunos micronutrientes. Además, no puede consumir lácteos porque es intolerante a la lactosa. ¿Cuál sería la mejor opción?: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El primer paso debe ser conocer los hábitos de la persona para adaptarle la dieta y las recomendaciones al máximo y que le sea lo más fácil posible.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16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El test MNA valora: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El MNA consta de un cuestionario (movilidad, estrés psicológico…) y valora diversos parámetros (edad, sexo, IMC...).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17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Los relojes biológicos internos que funcionan más son aquellos que: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Todos los que están en órganos que van a tener respuestas al entorno. Además, suelen estar relacionados entre sí para tener los estímulos correspondientes.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18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¿Qué personas se debería pensar que tienen riesgo de malnutrición por defecto?:</w:t>
      </w:r>
    </w:p>
    <w:tbl>
      <w:tblPr>
        <w:tblW w:w="166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4099"/>
        <w:gridCol w:w="7572"/>
      </w:tblGrid>
      <w:tr w:rsidR="00F65496" w:rsidRPr="00F65496" w:rsidTr="00F65496">
        <w:trPr>
          <w:tblHeader/>
          <w:tblCellSpacing w:w="15" w:type="dxa"/>
        </w:trPr>
        <w:tc>
          <w:tcPr>
            <w:tcW w:w="493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9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5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8"/>
        <w:gridCol w:w="66"/>
        <w:gridCol w:w="81"/>
      </w:tblGrid>
      <w:tr w:rsidR="00F65496" w:rsidRPr="00F65496" w:rsidTr="00B814AB">
        <w:trPr>
          <w:tblHeader/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B814AB">
        <w:trPr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B814AB">
        <w:trPr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B814AB">
        <w:trPr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B814AB">
        <w:trPr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Los ancianos que viven solos tienen tendencia a cocinar menos, les cuesta hacer la compra… lo que conlleva un riesgo de malnutrición.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19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¿Cuál de las siguientes pruebas forma parte de la valoración extensa de la condición nutricional?: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F654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La fuerza dinamométrica o fuerza de presión de la mano es una prueba muy relacionada con el buen desarrollo </w:t>
      </w:r>
      <w:proofErr w:type="spellStart"/>
      <w:r w:rsidRPr="00F65496">
        <w:rPr>
          <w:rFonts w:ascii="Times New Roman" w:eastAsia="Times New Roman" w:hAnsi="Times New Roman" w:cs="Times New Roman"/>
          <w:sz w:val="24"/>
          <w:szCs w:val="24"/>
        </w:rPr>
        <w:t>musculoesquelético</w:t>
      </w:r>
      <w:proofErr w:type="spellEnd"/>
      <w:r w:rsidRPr="00F65496">
        <w:rPr>
          <w:rFonts w:ascii="Times New Roman" w:eastAsia="Times New Roman" w:hAnsi="Times New Roman" w:cs="Times New Roman"/>
          <w:sz w:val="24"/>
          <w:szCs w:val="24"/>
        </w:rPr>
        <w:t xml:space="preserve"> y asociada a la composición corporal y la condición nutricional.</w:t>
      </w:r>
    </w:p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Pregunta 20</w:t>
      </w:r>
    </w:p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Para el cálculo del gasto metabólico basal (GMB):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F65496" w:rsidRPr="00F65496" w:rsidTr="00F654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8"/>
        <w:gridCol w:w="66"/>
        <w:gridCol w:w="81"/>
      </w:tblGrid>
      <w:tr w:rsidR="00F65496" w:rsidRPr="00F65496" w:rsidTr="00B814AB">
        <w:trPr>
          <w:tblHeader/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5496" w:rsidRPr="00F65496" w:rsidTr="00B814AB">
        <w:trPr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B814AB">
        <w:trPr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B814AB">
        <w:trPr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5496" w:rsidRPr="00F65496" w:rsidTr="00B814AB">
        <w:trPr>
          <w:tblCellSpacing w:w="15" w:type="dxa"/>
        </w:trPr>
        <w:tc>
          <w:tcPr>
            <w:tcW w:w="1443" w:type="dxa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65496" w:rsidRPr="00F65496" w:rsidRDefault="00F65496" w:rsidP="00F65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5496" w:rsidRPr="00F65496" w:rsidRDefault="00F65496" w:rsidP="00F6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5496">
        <w:rPr>
          <w:rFonts w:ascii="Times New Roman" w:eastAsia="Times New Roman" w:hAnsi="Times New Roman" w:cs="Times New Roman"/>
          <w:sz w:val="24"/>
          <w:szCs w:val="24"/>
        </w:rPr>
        <w:t>Es importante tener en cuenta la composición corporal de la persona, es decir, su grasa y masa muscular, para determinar los requerimientos basales de una persona. Además, cuando se habla de situación de reposo, no se incluye cuando la persona piensa o duerme, puesto que también se consumen calorías extra en ambos procesos que habrá que sumar.</w:t>
      </w:r>
    </w:p>
    <w:p w:rsidR="00A642DC" w:rsidRDefault="00A642DC"/>
    <w:sectPr w:rsidR="00A642DC" w:rsidSect="00974B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65496"/>
    <w:rsid w:val="00974B2A"/>
    <w:rsid w:val="00A642DC"/>
    <w:rsid w:val="00B814AB"/>
    <w:rsid w:val="00F6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B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5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17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6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42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1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84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50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85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6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3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81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90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2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52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56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8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08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87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07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19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9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0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1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02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61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7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12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7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8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028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4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77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9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9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21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10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7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5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75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03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0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75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6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2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9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11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4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0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8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3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62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39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00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288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4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71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63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55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36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84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0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6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3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29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54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0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54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03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1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5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77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0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97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8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0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50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2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31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2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160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76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8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28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5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5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0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1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9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1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5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3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5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2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0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76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18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6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6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43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2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2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9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3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2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11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0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8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19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7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3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99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722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50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1066</Words>
  <Characters>5868</Characters>
  <Application>Microsoft Office Word</Application>
  <DocSecurity>0</DocSecurity>
  <Lines>48</Lines>
  <Paragraphs>13</Paragraphs>
  <ScaleCrop>false</ScaleCrop>
  <Company>CASA</Company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</dc:creator>
  <cp:keywords/>
  <dc:description/>
  <cp:lastModifiedBy>TONI</cp:lastModifiedBy>
  <cp:revision>5</cp:revision>
  <dcterms:created xsi:type="dcterms:W3CDTF">2019-10-23T07:19:00Z</dcterms:created>
  <dcterms:modified xsi:type="dcterms:W3CDTF">2019-10-23T07:37:00Z</dcterms:modified>
</cp:coreProperties>
</file>